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2E" w:rsidRDefault="00E0412E" w:rsidP="00E0412E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</w:rPr>
        <w:t>STA 449 F3 </w:t>
      </w:r>
      <w:proofErr w:type="spellStart"/>
      <w:r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</w:rPr>
        <w:t>Nevio</w:t>
      </w:r>
      <w:proofErr w:type="spellEnd"/>
    </w:p>
    <w:bookmarkEnd w:id="0"/>
    <w:p w:rsidR="00E0412E" w:rsidRPr="00E0412E" w:rsidRDefault="00E0412E" w:rsidP="00E0412E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E0412E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Specialized for Demanding Tasks in Research &amp; Development</w:t>
      </w:r>
    </w:p>
    <w:p w:rsidR="00E0412E" w:rsidRPr="00E0412E" w:rsidRDefault="00E0412E" w:rsidP="00E0412E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0412E">
        <w:rPr>
          <w:rFonts w:ascii="Arial" w:hAnsi="Arial" w:cs="Arial"/>
          <w:color w:val="3F3F3F"/>
          <w:sz w:val="27"/>
          <w:szCs w:val="27"/>
          <w:lang w:val="en-US"/>
        </w:rPr>
        <w:t>The simultaneous thermal analyzer NETZSCH STA 449 </w:t>
      </w:r>
      <w:r w:rsidRPr="00E0412E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E0412E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 </w:t>
      </w:r>
      <w:proofErr w:type="spellStart"/>
      <w:r w:rsidRPr="00E0412E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Nevio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 allows the measurement of mass changes and thermal effects under identical conditions at the same specimen. </w:t>
      </w:r>
      <w:proofErr w:type="gram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Thus</w:t>
      </w:r>
      <w:proofErr w:type="gram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 it makes it feasible to differentiate between e.g., structural changes and degradation phenomena within just one </w:t>
      </w:r>
      <w:proofErr w:type="spell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mesurement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 up to 675°C</w:t>
      </w:r>
      <w:r w:rsidRPr="00E0412E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1</w:t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E0412E" w:rsidRPr="00E0412E" w:rsidRDefault="00E0412E" w:rsidP="00E0412E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The high flexibility caused by the various sensors, the great variety of sample crucibles and the wide TGA-measuring range make the system applicable for analysis of different kinds of pharmaceuticals, cosmetic samples or food including also </w:t>
      </w:r>
      <w:proofErr w:type="spell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inhomogenous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 substances.</w:t>
      </w:r>
    </w:p>
    <w:p w:rsidR="00E0412E" w:rsidRPr="00E0412E" w:rsidRDefault="00E0412E" w:rsidP="00E0412E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The vacuum-tight design of the instrument is an essential requirement for evolved gas analysis, i.e., the coupling of the thermal </w:t>
      </w:r>
      <w:proofErr w:type="spell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anlyzer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 to a gas analyzing system such as FT-IR, MS or GC-MS.</w:t>
      </w:r>
    </w:p>
    <w:p w:rsidR="00E0412E" w:rsidRPr="00E0412E" w:rsidRDefault="00E0412E" w:rsidP="00E0412E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0412E">
        <w:rPr>
          <w:rFonts w:ascii="Arial" w:hAnsi="Arial" w:cs="Arial"/>
          <w:color w:val="3F3F3F"/>
          <w:sz w:val="27"/>
          <w:szCs w:val="27"/>
          <w:lang w:val="en-US"/>
        </w:rPr>
        <w:t>Various furnaces, easy interchangeable by the user, cover a very broad temperature range (please see accessories).</w:t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br/>
        <w:t>In addition, due to its modular setup the STA 449 F3 </w:t>
      </w:r>
      <w:proofErr w:type="spellStart"/>
      <w:r w:rsidRPr="00E0412E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Nevio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 is also prepared to </w:t>
      </w:r>
      <w:proofErr w:type="spell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investigte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 xml:space="preserve"> samples under defined humid </w:t>
      </w:r>
      <w:proofErr w:type="spellStart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atmsophere</w:t>
      </w:r>
      <w:proofErr w:type="spellEnd"/>
      <w:r w:rsidRPr="00E0412E">
        <w:rPr>
          <w:rFonts w:ascii="Arial" w:hAnsi="Arial" w:cs="Arial"/>
          <w:color w:val="3F3F3F"/>
          <w:sz w:val="27"/>
          <w:szCs w:val="27"/>
          <w:lang w:val="en-US"/>
        </w:rPr>
        <w:t>.</w:t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br/>
        <w:t>The analysis of measuring data runs under a standard PC and the innovative NETZSCH </w:t>
      </w:r>
      <w:r w:rsidRPr="00E0412E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Proteus</w:t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t> software.</w:t>
      </w:r>
    </w:p>
    <w:p w:rsidR="00E0412E" w:rsidRPr="00E0412E" w:rsidRDefault="00E0412E" w:rsidP="00E0412E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0412E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1 </w:t>
      </w:r>
      <w:r w:rsidRPr="00E0412E">
        <w:rPr>
          <w:rFonts w:ascii="Arial" w:hAnsi="Arial" w:cs="Arial"/>
          <w:color w:val="3F3F3F"/>
          <w:sz w:val="27"/>
          <w:szCs w:val="27"/>
          <w:lang w:val="en-US"/>
        </w:rPr>
        <w:t>optimized temperature range for pharmacy, cosmetics and foodstuffs; depending on the selected furnaces: total temperature range: -150°C up to 2400°C</w:t>
      </w:r>
    </w:p>
    <w:p w:rsidR="005F35FE" w:rsidRPr="00050C11" w:rsidRDefault="005F35FE" w:rsidP="00E0412E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A86A92"/>
    <w:rsid w:val="00C25EF8"/>
    <w:rsid w:val="00D00FEE"/>
    <w:rsid w:val="00E0412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2021-01-13T12:20:00Z</dcterms:created>
  <dcterms:modified xsi:type="dcterms:W3CDTF">2021-01-13T12:20:00Z</dcterms:modified>
</cp:coreProperties>
</file>