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4C" w:rsidRPr="0020744C" w:rsidRDefault="0020744C" w:rsidP="0020744C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20744C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STA 449 </w:t>
      </w:r>
      <w:r w:rsidRPr="0020744C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F1</w:t>
      </w:r>
      <w:r w:rsidRPr="0020744C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Jupiter</w:t>
      </w:r>
      <w:r w:rsidRPr="0020744C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</w:p>
    <w:bookmarkEnd w:id="0"/>
    <w:p w:rsidR="0020744C" w:rsidRPr="0020744C" w:rsidRDefault="0020744C" w:rsidP="0020744C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20744C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Fascinating Flexibility in Thermal Analysis</w:t>
      </w:r>
    </w:p>
    <w:p w:rsidR="0020744C" w:rsidRPr="0020744C" w:rsidRDefault="0020744C" w:rsidP="0020744C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The STA 449 </w:t>
      </w:r>
      <w:r w:rsidRPr="0020744C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20744C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Jupiter</w:t>
      </w:r>
      <w:r w:rsidRPr="0020744C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20744C">
        <w:rPr>
          <w:rFonts w:ascii="Arial" w:hAnsi="Arial" w:cs="Arial"/>
          <w:color w:val="3F3F3F"/>
          <w:sz w:val="27"/>
          <w:szCs w:val="27"/>
          <w:lang w:val="en-US"/>
        </w:rPr>
        <w:t> combines unlimited configuration flexibility and unmatched performance in just one instrument.</w:t>
      </w:r>
      <w:r w:rsidRPr="0020744C">
        <w:rPr>
          <w:rFonts w:ascii="Arial" w:hAnsi="Arial" w:cs="Arial"/>
          <w:color w:val="3F3F3F"/>
          <w:sz w:val="27"/>
          <w:szCs w:val="27"/>
          <w:lang w:val="en-US"/>
        </w:rPr>
        <w:br/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Thermal stability, decomposition behavior, composition, phase transitions, melting processes to be analyzed comprehensively and quickly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Easily to use top-loading system with exceptionally precise balance resolution</w:t>
      </w:r>
      <w:r w:rsidRPr="0020744C">
        <w:rPr>
          <w:rFonts w:ascii="Arial" w:hAnsi="Arial" w:cs="Arial"/>
          <w:color w:val="3F3F3F"/>
          <w:sz w:val="27"/>
          <w:szCs w:val="27"/>
          <w:lang w:val="en-US"/>
        </w:rPr>
        <w:br/>
        <w:t>(25 ng resolution at a weighing range of 5g) and highest long-term stability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Interchangeable sensors for DSC measurements with highest sensitivity and best reproducibility for reaction/transition temperatures and enthalpies as well as for measurements of specific heat</w:t>
      </w:r>
      <w:r w:rsidRPr="0020744C">
        <w:rPr>
          <w:rFonts w:ascii="Arial" w:hAnsi="Arial" w:cs="Arial"/>
          <w:color w:val="3F3F3F"/>
          <w:sz w:val="27"/>
          <w:szCs w:val="27"/>
          <w:lang w:val="en-US"/>
        </w:rPr>
        <w:br/>
        <w:t>(</w:t>
      </w:r>
      <w:proofErr w:type="spellStart"/>
      <w:r w:rsidRPr="0020744C">
        <w:rPr>
          <w:rFonts w:ascii="Arial" w:hAnsi="Arial" w:cs="Arial"/>
          <w:color w:val="3F3F3F"/>
          <w:sz w:val="27"/>
          <w:szCs w:val="27"/>
          <w:lang w:val="en-US"/>
        </w:rPr>
        <w:t>videoclip</w:t>
      </w:r>
      <w:proofErr w:type="spellEnd"/>
      <w:r w:rsidRPr="0020744C">
        <w:rPr>
          <w:rFonts w:ascii="Arial" w:hAnsi="Arial" w:cs="Arial"/>
          <w:color w:val="3F3F3F"/>
          <w:sz w:val="27"/>
          <w:szCs w:val="27"/>
          <w:lang w:val="en-US"/>
        </w:rPr>
        <w:t xml:space="preserve"> for sensor exchange)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A variety of optional system enhancements for ideal system adaption to user-defined applications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Various furnaces, easily interchangeable by the user, available</w:t>
      </w:r>
      <w:r w:rsidRPr="0020744C">
        <w:rPr>
          <w:rFonts w:ascii="Arial" w:hAnsi="Arial" w:cs="Arial"/>
          <w:color w:val="3F3F3F"/>
          <w:sz w:val="27"/>
          <w:szCs w:val="27"/>
          <w:lang w:val="en-US"/>
        </w:rPr>
        <w:br/>
        <w:t>(optional a swiveling double hoisting device for two furnaces) - please see accessories</w:t>
      </w:r>
    </w:p>
    <w:p w:rsid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Pluggable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sample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carriers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(TGA, TGA-DSC, TGA-DTA, etc.)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Automatic Sample Changer (ASC) for up to 20 samples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Automatic evacuation and refilling (</w:t>
      </w:r>
      <w:proofErr w:type="spellStart"/>
      <w:r w:rsidRPr="0020744C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AutoVac</w:t>
      </w:r>
      <w:proofErr w:type="spellEnd"/>
      <w:r w:rsidRPr="0020744C">
        <w:rPr>
          <w:rFonts w:ascii="Arial" w:hAnsi="Arial" w:cs="Arial"/>
          <w:color w:val="3F3F3F"/>
          <w:sz w:val="27"/>
          <w:szCs w:val="27"/>
          <w:lang w:val="en-US"/>
        </w:rPr>
        <w:t>)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Plenty of accessories, e.g. sample crucibles in the most varied of forms and materials</w:t>
      </w:r>
    </w:p>
    <w:p w:rsidR="0020744C" w:rsidRPr="0020744C" w:rsidRDefault="0020744C" w:rsidP="0020744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Unique for STA: temperature-modulated DSC (TM-DSC)</w:t>
      </w:r>
    </w:p>
    <w:p w:rsidR="0020744C" w:rsidRPr="0020744C" w:rsidRDefault="0020744C" w:rsidP="0020744C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By supplementary </w:t>
      </w:r>
      <w:hyperlink r:id="rId5" w:tgtFrame="_blank" w:history="1">
        <w:proofErr w:type="gramStart"/>
        <w:r w:rsidRPr="0020744C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MS</w:t>
        </w:r>
      </w:hyperlink>
      <w:r w:rsidRPr="0020744C">
        <w:rPr>
          <w:rFonts w:ascii="Arial" w:hAnsi="Arial" w:cs="Arial"/>
          <w:color w:val="3F3F3F"/>
          <w:sz w:val="27"/>
          <w:szCs w:val="27"/>
          <w:lang w:val="en-US"/>
        </w:rPr>
        <w:t> and/or </w:t>
      </w:r>
      <w:hyperlink r:id="rId6" w:tgtFrame="_blank" w:history="1">
        <w:r w:rsidRPr="0020744C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FT-IR</w:t>
        </w:r>
      </w:hyperlink>
      <w:r w:rsidRPr="0020744C">
        <w:rPr>
          <w:rFonts w:ascii="Arial" w:hAnsi="Arial" w:cs="Arial"/>
          <w:color w:val="3F3F3F"/>
          <w:sz w:val="27"/>
          <w:szCs w:val="27"/>
          <w:lang w:val="en-US"/>
        </w:rPr>
        <w:t> coupling</w:t>
      </w:r>
      <w:proofErr w:type="gramEnd"/>
      <w:r w:rsidRPr="0020744C">
        <w:rPr>
          <w:rFonts w:ascii="Arial" w:hAnsi="Arial" w:cs="Arial"/>
          <w:color w:val="3F3F3F"/>
          <w:sz w:val="27"/>
          <w:szCs w:val="27"/>
          <w:lang w:val="en-US"/>
        </w:rPr>
        <w:t xml:space="preserve"> even more comprehensive analyses are possible.</w:t>
      </w:r>
    </w:p>
    <w:p w:rsidR="005F35FE" w:rsidRPr="00050C11" w:rsidRDefault="0020744C" w:rsidP="0020744C">
      <w:pPr>
        <w:pStyle w:val="bodytext"/>
        <w:shd w:val="clear" w:color="auto" w:fill="FFFFFF"/>
        <w:spacing w:before="0" w:beforeAutospacing="0" w:after="0" w:afterAutospacing="0"/>
        <w:rPr>
          <w:lang w:val="en-US"/>
        </w:rPr>
      </w:pPr>
      <w:r w:rsidRPr="0020744C">
        <w:rPr>
          <w:rFonts w:ascii="Arial" w:hAnsi="Arial" w:cs="Arial"/>
          <w:color w:val="3F3F3F"/>
          <w:sz w:val="27"/>
          <w:szCs w:val="27"/>
          <w:lang w:val="en-US"/>
        </w:rPr>
        <w:t>All these features make the new developed STA 449 </w:t>
      </w:r>
      <w:r w:rsidRPr="0020744C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20744C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Jupiter</w:t>
      </w:r>
      <w:r w:rsidRPr="0020744C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 </w:t>
      </w:r>
      <w:r w:rsidRPr="0020744C">
        <w:rPr>
          <w:rFonts w:ascii="Arial" w:hAnsi="Arial" w:cs="Arial"/>
          <w:color w:val="3F3F3F"/>
          <w:sz w:val="27"/>
          <w:szCs w:val="27"/>
          <w:lang w:val="en-US"/>
        </w:rPr>
        <w:t>the ideal tool for thermal analysis of materials in the fields of research, developments and quality assurance.</w:t>
      </w: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20744C"/>
    <w:rsid w:val="003270F8"/>
    <w:rsid w:val="0037721B"/>
    <w:rsid w:val="003A0B3D"/>
    <w:rsid w:val="003C7063"/>
    <w:rsid w:val="00484D92"/>
    <w:rsid w:val="005B28C4"/>
    <w:rsid w:val="005E4C48"/>
    <w:rsid w:val="005F35FE"/>
    <w:rsid w:val="00607355"/>
    <w:rsid w:val="00644D7C"/>
    <w:rsid w:val="00A412F5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zsch-thermal-analysis.com/en/products-solutions/hyphenated-techniques-evolved-gas-analysis/ft-ir-coupling/" TargetMode="External"/><Relationship Id="rId5" Type="http://schemas.openxmlformats.org/officeDocument/2006/relationships/hyperlink" Target="https://www.netzsch-thermal-analysis.com/en/products-solutions/hyphenated-techniques-evolved-gas-analysis/qms-403-aeolos-quad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2021-01-13T12:20:00Z</dcterms:created>
  <dcterms:modified xsi:type="dcterms:W3CDTF">2021-01-13T12:20:00Z</dcterms:modified>
</cp:coreProperties>
</file>