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59" w:rsidRDefault="00C03359" w:rsidP="00C03359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</w:rPr>
      </w:pPr>
      <w:bookmarkStart w:id="0" w:name="_GoBack"/>
      <w:r>
        <w:rPr>
          <w:rFonts w:ascii="Arial" w:hAnsi="Arial" w:cs="Arial"/>
          <w:b w:val="0"/>
          <w:bCs w:val="0"/>
          <w:color w:val="007167"/>
          <w:sz w:val="72"/>
          <w:szCs w:val="72"/>
        </w:rPr>
        <w:t>STA 2500 </w:t>
      </w:r>
      <w:r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</w:rPr>
        <w:t>Regulus</w:t>
      </w:r>
    </w:p>
    <w:bookmarkEnd w:id="0"/>
    <w:p w:rsidR="00C03359" w:rsidRPr="00C03359" w:rsidRDefault="00C03359" w:rsidP="00C03359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C03359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A Highly Reliable and Fully Equipped Cost-Saving Instrument Package</w:t>
      </w:r>
    </w:p>
    <w:p w:rsidR="00C03359" w:rsidRPr="00C03359" w:rsidRDefault="00C03359" w:rsidP="00C03359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C03359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Excellent Cost Performance</w:t>
      </w:r>
    </w:p>
    <w:p w:rsidR="00C03359" w:rsidRPr="00C03359" w:rsidRDefault="00C03359" w:rsidP="00C03359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C03359">
        <w:rPr>
          <w:rFonts w:ascii="Arial" w:hAnsi="Arial" w:cs="Arial"/>
          <w:color w:val="3F3F3F"/>
          <w:sz w:val="27"/>
          <w:szCs w:val="27"/>
          <w:lang w:val="en-US"/>
        </w:rPr>
        <w:t>The STA 2500 </w:t>
      </w:r>
      <w:r w:rsidRPr="00C03359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Regulus</w:t>
      </w:r>
      <w:r w:rsidRPr="00C03359">
        <w:rPr>
          <w:rFonts w:ascii="Arial" w:hAnsi="Arial" w:cs="Arial"/>
          <w:color w:val="3F3F3F"/>
          <w:sz w:val="27"/>
          <w:szCs w:val="27"/>
          <w:lang w:val="en-US"/>
        </w:rPr>
        <w:t> features a highly reliable, fully equipped instrument package for STA measurements up to 1600°C at an attractive price.</w:t>
      </w:r>
    </w:p>
    <w:p w:rsidR="00C03359" w:rsidRPr="00C03359" w:rsidRDefault="00C03359" w:rsidP="00C03359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C03359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Top-Loading and Unique Differential Balance Arrangement</w:t>
      </w:r>
    </w:p>
    <w:p w:rsidR="00C03359" w:rsidRPr="00C03359" w:rsidRDefault="00C03359" w:rsidP="00C03359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C03359">
        <w:rPr>
          <w:rFonts w:ascii="Arial" w:hAnsi="Arial" w:cs="Arial"/>
          <w:color w:val="3F3F3F"/>
          <w:sz w:val="27"/>
          <w:szCs w:val="27"/>
          <w:lang w:val="en-US"/>
        </w:rPr>
        <w:t>The natural gas flow in the top-loading system guarantees automatic protection of the balance against condensation and contamination. The tailor-made differential balance system cancels out buoyancy and convection influences over a broad temperature range. This provides easy operation without the need for timeconsuming baseline runs.</w:t>
      </w:r>
    </w:p>
    <w:p w:rsidR="00C03359" w:rsidRPr="00C03359" w:rsidRDefault="00C03359" w:rsidP="00C03359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C03359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Various Atmospheres Available</w:t>
      </w:r>
    </w:p>
    <w:p w:rsidR="00C03359" w:rsidRPr="00C03359" w:rsidRDefault="00C03359" w:rsidP="00C03359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C03359">
        <w:rPr>
          <w:rFonts w:ascii="Arial" w:hAnsi="Arial" w:cs="Arial"/>
          <w:color w:val="3F3F3F"/>
          <w:sz w:val="27"/>
          <w:szCs w:val="27"/>
          <w:lang w:val="en-US"/>
        </w:rPr>
        <w:t xml:space="preserve">Measurements </w:t>
      </w:r>
      <w:proofErr w:type="gramStart"/>
      <w:r w:rsidRPr="00C03359">
        <w:rPr>
          <w:rFonts w:ascii="Arial" w:hAnsi="Arial" w:cs="Arial"/>
          <w:color w:val="3F3F3F"/>
          <w:sz w:val="27"/>
          <w:szCs w:val="27"/>
          <w:lang w:val="en-US"/>
        </w:rPr>
        <w:t>can be performed</w:t>
      </w:r>
      <w:proofErr w:type="gramEnd"/>
      <w:r w:rsidRPr="00C03359">
        <w:rPr>
          <w:rFonts w:ascii="Arial" w:hAnsi="Arial" w:cs="Arial"/>
          <w:color w:val="3F3F3F"/>
          <w:sz w:val="27"/>
          <w:szCs w:val="27"/>
          <w:lang w:val="en-US"/>
        </w:rPr>
        <w:t xml:space="preserve"> in inert and oxidizing atmospheres but also under vacuum. The atmosphere can be dynamic or static. The built-in mass flow controllers (MFCs) are software-controlled and allow gas changes at any time during the test.</w:t>
      </w:r>
    </w:p>
    <w:p w:rsidR="00C03359" w:rsidRPr="00C03359" w:rsidRDefault="00C03359" w:rsidP="00C03359">
      <w:pPr>
        <w:pStyle w:val="berschrift4"/>
        <w:shd w:val="clear" w:color="auto" w:fill="FFFFFF"/>
        <w:spacing w:before="225" w:after="225"/>
        <w:rPr>
          <w:rFonts w:ascii="Arial" w:hAnsi="Arial" w:cs="Arial"/>
          <w:color w:val="373737"/>
          <w:sz w:val="30"/>
          <w:szCs w:val="30"/>
          <w:lang w:val="en-US"/>
        </w:rPr>
      </w:pPr>
      <w:r w:rsidRPr="00C03359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Ideal for Evolved Gas Analysis</w:t>
      </w:r>
    </w:p>
    <w:p w:rsidR="00C03359" w:rsidRPr="00C03359" w:rsidRDefault="00C03359" w:rsidP="00C03359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C03359">
        <w:rPr>
          <w:rFonts w:ascii="Arial" w:hAnsi="Arial" w:cs="Arial"/>
          <w:color w:val="3F3F3F"/>
          <w:sz w:val="27"/>
          <w:szCs w:val="27"/>
          <w:lang w:val="en-US"/>
        </w:rPr>
        <w:t xml:space="preserve">The top-loading design of the STA allows for convenient coupling to gas analysis systems such as FT-IR (Fourier Transform Infrared) spectrometer, MS (mass spectrometer), or GC-MS (gas chromatograph – mass spectrometer). During thermal treatment, the gases evolved </w:t>
      </w:r>
      <w:proofErr w:type="gramStart"/>
      <w:r w:rsidRPr="00C03359">
        <w:rPr>
          <w:rFonts w:ascii="Arial" w:hAnsi="Arial" w:cs="Arial"/>
          <w:color w:val="3F3F3F"/>
          <w:sz w:val="27"/>
          <w:szCs w:val="27"/>
          <w:lang w:val="en-US"/>
        </w:rPr>
        <w:t>can be simultaneously analyzed</w:t>
      </w:r>
      <w:proofErr w:type="gramEnd"/>
      <w:r w:rsidRPr="00C03359">
        <w:rPr>
          <w:rFonts w:ascii="Arial" w:hAnsi="Arial" w:cs="Arial"/>
          <w:color w:val="3F3F3F"/>
          <w:sz w:val="27"/>
          <w:szCs w:val="27"/>
          <w:lang w:val="en-US"/>
        </w:rPr>
        <w:t>.</w:t>
      </w:r>
    </w:p>
    <w:p w:rsidR="005F35FE" w:rsidRPr="00050C11" w:rsidRDefault="005F35FE" w:rsidP="00C03359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20744C"/>
    <w:rsid w:val="003270F8"/>
    <w:rsid w:val="0037721B"/>
    <w:rsid w:val="003A0B3D"/>
    <w:rsid w:val="003C7063"/>
    <w:rsid w:val="00484D92"/>
    <w:rsid w:val="005B28C4"/>
    <w:rsid w:val="005E4C48"/>
    <w:rsid w:val="005F35FE"/>
    <w:rsid w:val="00607355"/>
    <w:rsid w:val="00644D7C"/>
    <w:rsid w:val="00A412F5"/>
    <w:rsid w:val="00A86A92"/>
    <w:rsid w:val="00C03359"/>
    <w:rsid w:val="00C25EF8"/>
    <w:rsid w:val="00D00FEE"/>
    <w:rsid w:val="00E0412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2021-01-13T12:21:00Z</dcterms:created>
  <dcterms:modified xsi:type="dcterms:W3CDTF">2021-01-13T12:21:00Z</dcterms:modified>
</cp:coreProperties>
</file>