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92" w:rsidRPr="00484D92" w:rsidRDefault="00484D92" w:rsidP="00484D92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484D9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Photo-DSC 204 </w:t>
      </w:r>
      <w:r w:rsidRPr="00484D92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</w:t>
      </w:r>
      <w:r w:rsidRPr="00484D92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Phoenix</w:t>
      </w:r>
      <w:r w:rsidRPr="00484D92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  <w:r w:rsidRPr="00484D9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 xml:space="preserve"> – Differential </w:t>
      </w:r>
      <w:proofErr w:type="spellStart"/>
      <w:r w:rsidRPr="00484D9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Photocalorimeter</w:t>
      </w:r>
      <w:proofErr w:type="spellEnd"/>
    </w:p>
    <w:p w:rsidR="00484D92" w:rsidRPr="00484D92" w:rsidRDefault="00484D92" w:rsidP="00484D92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484D92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For UV curing and more</w:t>
      </w:r>
    </w:p>
    <w:p w:rsidR="00484D92" w:rsidRPr="00484D92" w:rsidRDefault="00484D92" w:rsidP="00484D9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The main advantage of light-curing systems is their fast reaction time. Monomer </w:t>
      </w:r>
      <w:proofErr w:type="gram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solutions which are mostly free of solvents</w:t>
      </w:r>
      <w:proofErr w:type="gram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 can be cured within only a few seconds and already at low temperatures. A combination of thermal and light curing reactions </w:t>
      </w:r>
      <w:proofErr w:type="gram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is often applied</w:t>
      </w:r>
      <w:proofErr w:type="gram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 to dual cure adhesives or paints.</w:t>
      </w:r>
    </w:p>
    <w:p w:rsidR="00484D92" w:rsidRPr="00484D92" w:rsidRDefault="00484D92" w:rsidP="00484D92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484D92">
        <w:rPr>
          <w:rFonts w:ascii="Arial" w:hAnsi="Arial" w:cs="Arial"/>
          <w:color w:val="3F3F3F"/>
          <w:sz w:val="27"/>
          <w:szCs w:val="27"/>
          <w:lang w:val="en-US"/>
        </w:rPr>
        <w:t>The NETZSCH Photo-DSC 204 </w:t>
      </w:r>
      <w:r w:rsidRPr="00484D92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484D92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Phoenix</w:t>
      </w:r>
      <w:r w:rsidRPr="00484D92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, Differential </w:t>
      </w:r>
      <w:proofErr w:type="spell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Photocalorimeter</w:t>
      </w:r>
      <w:proofErr w:type="spell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, works in the temperature range from -100°C to 200°C. The Differential </w:t>
      </w:r>
      <w:proofErr w:type="spell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Photocalorimetry</w:t>
      </w:r>
      <w:proofErr w:type="spell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 instrument has a gas-tight measuring cell and </w:t>
      </w:r>
      <w:proofErr w:type="gram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the purge gas control is regulated by a mass flow controller (MFC)</w:t>
      </w:r>
      <w:proofErr w:type="gram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484D92" w:rsidRPr="00484D92" w:rsidRDefault="00484D92" w:rsidP="00484D9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484D92">
        <w:rPr>
          <w:rFonts w:ascii="Arial" w:hAnsi="Arial" w:cs="Arial"/>
          <w:color w:val="3F3F3F"/>
          <w:sz w:val="27"/>
          <w:szCs w:val="27"/>
          <w:lang w:val="en-US"/>
        </w:rPr>
        <w:t>For our Photo-DSC 204 </w:t>
      </w:r>
      <w:r w:rsidRPr="00484D92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F1</w:t>
      </w:r>
      <w:r w:rsidRPr="00484D92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Phoenix</w:t>
      </w:r>
      <w:r w:rsidRPr="00484D92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, Differential </w:t>
      </w:r>
      <w:proofErr w:type="spell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Photocalorimetry</w:t>
      </w:r>
      <w:proofErr w:type="spell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 xml:space="preserve"> system, most standard industry or laboratory lamps for cationic or radically curing material systems </w:t>
      </w:r>
      <w:proofErr w:type="gramStart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can be used</w:t>
      </w:r>
      <w:proofErr w:type="gramEnd"/>
      <w:r w:rsidRPr="00484D92">
        <w:rPr>
          <w:rFonts w:ascii="Arial" w:hAnsi="Arial" w:cs="Arial"/>
          <w:color w:val="3F3F3F"/>
          <w:sz w:val="27"/>
          <w:szCs w:val="27"/>
          <w:lang w:val="en-US"/>
        </w:rPr>
        <w:t>.</w:t>
      </w:r>
    </w:p>
    <w:p w:rsidR="005F35FE" w:rsidRPr="00050C11" w:rsidRDefault="005F35FE" w:rsidP="00484D92">
      <w:pPr>
        <w:rPr>
          <w:lang w:val="en-US"/>
        </w:rPr>
      </w:pPr>
      <w:bookmarkStart w:id="0" w:name="_GoBack"/>
      <w:bookmarkEnd w:id="0"/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484D92"/>
    <w:rsid w:val="005B28C4"/>
    <w:rsid w:val="005F35FE"/>
    <w:rsid w:val="00A412F5"/>
    <w:rsid w:val="00C25EF8"/>
    <w:rsid w:val="00D0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2021-01-13T12:16:00Z</dcterms:created>
  <dcterms:modified xsi:type="dcterms:W3CDTF">2021-01-13T12:16:00Z</dcterms:modified>
</cp:coreProperties>
</file>