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3601E5" w:rsidRDefault="00EB6B7F" w:rsidP="00EB6B7F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601E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DIL 402 </w:t>
      </w:r>
      <w:proofErr w:type="spellStart"/>
      <w:r w:rsidRPr="003601E5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Expedis</w:t>
      </w:r>
      <w:proofErr w:type="spellEnd"/>
      <w:r w:rsidRPr="003601E5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 xml:space="preserve"> Supreme</w:t>
      </w:r>
    </w:p>
    <w:p w:rsidR="00EB6B7F" w:rsidRPr="003601E5" w:rsidRDefault="00EB6B7F" w:rsidP="00EB6B7F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7167"/>
          <w:sz w:val="51"/>
          <w:szCs w:val="51"/>
          <w:lang w:val="en-US"/>
        </w:rPr>
      </w:pPr>
      <w:r w:rsidRPr="003601E5">
        <w:rPr>
          <w:rFonts w:ascii="Arial" w:hAnsi="Arial" w:cs="Arial"/>
          <w:b w:val="0"/>
          <w:bCs w:val="0"/>
          <w:color w:val="007167"/>
          <w:sz w:val="51"/>
          <w:szCs w:val="51"/>
          <w:lang w:val="en-US"/>
        </w:rPr>
        <w:t>Dilatometry Redefined.</w:t>
      </w:r>
    </w:p>
    <w:p w:rsidR="003601E5" w:rsidRPr="003601E5" w:rsidRDefault="003601E5" w:rsidP="003601E5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601E5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High Temperature Version</w:t>
      </w:r>
    </w:p>
    <w:p w:rsidR="003601E5" w:rsidRPr="003601E5" w:rsidRDefault="003601E5" w:rsidP="003601E5">
      <w:pPr>
        <w:pStyle w:val="berschrift3"/>
        <w:shd w:val="clear" w:color="auto" w:fill="FFFFFF"/>
        <w:spacing w:before="0" w:after="225"/>
        <w:rPr>
          <w:rFonts w:ascii="Arial" w:hAnsi="Arial" w:cs="Arial"/>
          <w:b/>
          <w:bCs/>
          <w:color w:val="373737"/>
          <w:sz w:val="33"/>
          <w:szCs w:val="33"/>
          <w:lang w:val="en-US"/>
        </w:rPr>
      </w:pPr>
      <w:r w:rsidRPr="003601E5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Up to 2800°C</w:t>
      </w:r>
    </w:p>
    <w:p w:rsidR="003601E5" w:rsidRPr="003601E5" w:rsidRDefault="003601E5" w:rsidP="003601E5">
      <w:pPr>
        <w:pStyle w:val="berschrift3"/>
        <w:shd w:val="clear" w:color="auto" w:fill="FFFFFF"/>
        <w:spacing w:before="450" w:after="225"/>
        <w:rPr>
          <w:rFonts w:ascii="Arial" w:hAnsi="Arial" w:cs="Arial"/>
          <w:color w:val="373737"/>
          <w:sz w:val="33"/>
          <w:szCs w:val="33"/>
          <w:lang w:val="en-US"/>
        </w:rPr>
      </w:pPr>
      <w:r w:rsidRPr="003601E5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Refined Safety System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>An elaborate safety system monitors the cooling water and purge gas flow throughout the measurement.</w:t>
      </w:r>
    </w:p>
    <w:p w:rsidR="003601E5" w:rsidRPr="003601E5" w:rsidRDefault="003601E5" w:rsidP="003601E5">
      <w:pPr>
        <w:pStyle w:val="berschrift3"/>
        <w:shd w:val="clear" w:color="auto" w:fill="FFFFFF"/>
        <w:spacing w:before="450" w:after="225"/>
        <w:rPr>
          <w:rFonts w:ascii="Arial" w:hAnsi="Arial" w:cs="Arial"/>
          <w:color w:val="373737"/>
          <w:sz w:val="33"/>
          <w:szCs w:val="33"/>
          <w:lang w:val="en-US"/>
        </w:rPr>
      </w:pPr>
      <w:r w:rsidRPr="003601E5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Variable Gas Atmosphere Is Key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>In the DIL 402 </w:t>
      </w:r>
      <w:proofErr w:type="spellStart"/>
      <w:r w:rsidRPr="003601E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Expedis</w:t>
      </w:r>
      <w:proofErr w:type="spellEnd"/>
      <w:r w:rsidRPr="003601E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 xml:space="preserve"> Supreme</w:t>
      </w:r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 HT instrument, the sample chamber and furnace chamber </w:t>
      </w:r>
      <w:proofErr w:type="gramStart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are always separated</w:t>
      </w:r>
      <w:proofErr w:type="gram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 by means of a protective tube (glassy carbon or alumina). This allows for the use of a different atmosphere around the sample than around the heating </w:t>
      </w:r>
      <w:proofErr w:type="spellStart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elements.In</w:t>
      </w:r>
      <w:proofErr w:type="spell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 combination with an alumina protective tube (maximum furnace temperature: 1680°C), even an air atmosphere can be applied to the sample.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>The optional </w:t>
      </w:r>
      <w:proofErr w:type="spellStart"/>
      <w:r w:rsidRPr="003601E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AutoVac</w:t>
      </w:r>
      <w:proofErr w:type="spell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 system for evacuating and refilling the sample chamber along with integrated purging of the pyrometer window effectively supports the direct switch between oxidizing and inert conditions.</w:t>
      </w:r>
    </w:p>
    <w:p w:rsidR="003601E5" w:rsidRPr="003601E5" w:rsidRDefault="003601E5" w:rsidP="003601E5">
      <w:pPr>
        <w:pStyle w:val="berschrift3"/>
        <w:shd w:val="clear" w:color="auto" w:fill="FFFFFF"/>
        <w:spacing w:before="450" w:after="225"/>
        <w:rPr>
          <w:rFonts w:ascii="Arial" w:hAnsi="Arial" w:cs="Arial"/>
          <w:color w:val="373737"/>
          <w:sz w:val="33"/>
          <w:szCs w:val="33"/>
          <w:lang w:val="en-US"/>
        </w:rPr>
      </w:pPr>
      <w:r w:rsidRPr="003601E5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Broadest Application Range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>Two graphite furnaces with end temperatures of 2400°C and 2800°C provide the appropriate configuration for measuring the thermal expansion of metals, alloys, ceramics and composites in applications such as aerospace, power generation, the oil and gas industry or demanding research.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However, via an adapter, each of these graphite furnaces </w:t>
      </w:r>
      <w:proofErr w:type="gramStart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can be replaced</w:t>
      </w:r>
      <w:proofErr w:type="gram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 with a standard furnace such as SiC, SiO2, Cu or steel. The opposite is also feasible: A DIL 402 </w:t>
      </w:r>
      <w:r w:rsidRPr="003601E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Expedis Supreme</w:t>
      </w:r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 HT measuring part with a </w:t>
      </w:r>
      <w:r w:rsidRPr="003601E5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 xml:space="preserve">standard furnace </w:t>
      </w:r>
      <w:proofErr w:type="gramStart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can be subsequently retrofitted</w:t>
      </w:r>
      <w:proofErr w:type="gram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 with a high-temperature furnace.</w:t>
      </w:r>
    </w:p>
    <w:p w:rsidR="003601E5" w:rsidRPr="003601E5" w:rsidRDefault="003601E5" w:rsidP="003601E5">
      <w:pPr>
        <w:pStyle w:val="berschrift3"/>
        <w:shd w:val="clear" w:color="auto" w:fill="FFFFFF"/>
        <w:spacing w:before="450" w:after="225"/>
        <w:rPr>
          <w:rFonts w:ascii="Arial" w:hAnsi="Arial" w:cs="Arial"/>
          <w:color w:val="373737"/>
          <w:sz w:val="33"/>
          <w:szCs w:val="33"/>
          <w:lang w:val="en-US"/>
        </w:rPr>
      </w:pPr>
      <w:r w:rsidRPr="003601E5">
        <w:rPr>
          <w:rFonts w:ascii="Arial" w:hAnsi="Arial" w:cs="Arial"/>
          <w:b/>
          <w:bCs/>
          <w:color w:val="373737"/>
          <w:sz w:val="33"/>
          <w:szCs w:val="33"/>
          <w:lang w:val="en-US"/>
        </w:rPr>
        <w:t>Pyrometer for Detection of the Highest Temperatures</w:t>
      </w:r>
    </w:p>
    <w:p w:rsidR="003601E5" w:rsidRPr="003601E5" w:rsidRDefault="003601E5" w:rsidP="003601E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601E5">
        <w:rPr>
          <w:rFonts w:ascii="Arial" w:hAnsi="Arial" w:cs="Arial"/>
          <w:color w:val="3F3F3F"/>
          <w:sz w:val="27"/>
          <w:szCs w:val="27"/>
          <w:lang w:val="en-US"/>
        </w:rPr>
        <w:t>Since W-Rh thermocouples can react with graphite above 2000°C, the sample temperature of the DIL 402 </w:t>
      </w:r>
      <w:r w:rsidRPr="003601E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Expedis Supreme</w:t>
      </w:r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 HT </w:t>
      </w:r>
      <w:proofErr w:type="gramStart"/>
      <w:r w:rsidRPr="003601E5">
        <w:rPr>
          <w:rFonts w:ascii="Arial" w:hAnsi="Arial" w:cs="Arial"/>
          <w:color w:val="3F3F3F"/>
          <w:sz w:val="27"/>
          <w:szCs w:val="27"/>
          <w:lang w:val="en-US"/>
        </w:rPr>
        <w:t>is measured</w:t>
      </w:r>
      <w:proofErr w:type="gramEnd"/>
      <w:r w:rsidRPr="003601E5">
        <w:rPr>
          <w:rFonts w:ascii="Arial" w:hAnsi="Arial" w:cs="Arial"/>
          <w:color w:val="3F3F3F"/>
          <w:sz w:val="27"/>
          <w:szCs w:val="27"/>
          <w:lang w:val="en-US"/>
        </w:rPr>
        <w:t xml:space="preserve"> optically with a high-performance pyrometer from room temperature onward.</w:t>
      </w:r>
    </w:p>
    <w:p w:rsidR="005F35FE" w:rsidRPr="00050C11" w:rsidRDefault="005F35FE" w:rsidP="00EB6B7F">
      <w:pPr>
        <w:rPr>
          <w:lang w:val="en-US"/>
        </w:rPr>
      </w:pPr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1A3A58"/>
    <w:rsid w:val="0020744C"/>
    <w:rsid w:val="003270F8"/>
    <w:rsid w:val="003601E5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790DE2"/>
    <w:rsid w:val="00A412F5"/>
    <w:rsid w:val="00A86A92"/>
    <w:rsid w:val="00C03359"/>
    <w:rsid w:val="00C25EF8"/>
    <w:rsid w:val="00D00FEE"/>
    <w:rsid w:val="00E0412E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2021-01-13T12:25:00Z</dcterms:created>
  <dcterms:modified xsi:type="dcterms:W3CDTF">2021-01-13T12:25:00Z</dcterms:modified>
</cp:coreProperties>
</file>